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927" w:rsidRPr="00170C37" w:rsidRDefault="00232140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bookmarkStart w:id="0" w:name="_GoBack"/>
      <w:r w:rsidRPr="00170C37">
        <w:rPr>
          <w:rFonts w:ascii="Arial" w:eastAsia="Times New Roman" w:hAnsi="Arial" w:cs="Arial"/>
          <w:noProof/>
          <w:color w:val="000000" w:themeColor="text1"/>
          <w:sz w:val="24"/>
          <w:szCs w:val="24"/>
          <w:lang w:val="en-US"/>
        </w:rPr>
        <w:drawing>
          <wp:inline distT="0" distB="0" distL="0" distR="0">
            <wp:extent cx="5429250" cy="1371024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_revin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2035" cy="138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927" w:rsidRPr="00170C37" w:rsidRDefault="00591927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591927" w:rsidRPr="00170C37" w:rsidRDefault="00591927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170C37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6" w:history="1">
        <w:r w:rsidR="00074A5D" w:rsidRPr="00170C37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en-GB"/>
          </w:rPr>
          <w:t>CrameRomania</w:t>
        </w:r>
        <w:r w:rsidR="00916CBD" w:rsidRPr="00170C37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en-GB"/>
          </w:rPr>
          <w:t>.ro</w:t>
        </w:r>
      </w:hyperlink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</w:t>
      </w:r>
      <w:hyperlink r:id="rId7" w:history="1">
        <w:r w:rsidR="00074A5D" w:rsidRPr="00170C37">
          <w:rPr>
            <w:rStyle w:val="Hyperlink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en-GB"/>
          </w:rPr>
          <w:t>ReVino.ro</w:t>
        </w:r>
      </w:hyperlink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look forward to welcoming you to the third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annual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hyperlink r:id="rId8" w:history="1">
        <w:proofErr w:type="spellStart"/>
        <w:r w:rsidR="00074A5D" w:rsidRPr="00170C37">
          <w:rPr>
            <w:rStyle w:val="Hyperlink"/>
            <w:rFonts w:ascii="Arial" w:eastAsia="Times New Roman" w:hAnsi="Arial" w:cs="Arial"/>
            <w:b/>
            <w:color w:val="000000" w:themeColor="text1"/>
            <w:sz w:val="24"/>
            <w:szCs w:val="24"/>
            <w:u w:val="none"/>
            <w:lang w:eastAsia="en-GB"/>
          </w:rPr>
          <w:t>ReVino</w:t>
        </w:r>
        <w:proofErr w:type="spellEnd"/>
        <w:r w:rsidR="00074A5D" w:rsidRPr="00170C37">
          <w:rPr>
            <w:rStyle w:val="Hyperlink"/>
            <w:rFonts w:ascii="Arial" w:eastAsia="Times New Roman" w:hAnsi="Arial" w:cs="Arial"/>
            <w:b/>
            <w:color w:val="000000" w:themeColor="text1"/>
            <w:sz w:val="24"/>
            <w:szCs w:val="24"/>
            <w:u w:val="none"/>
            <w:lang w:eastAsia="en-GB"/>
          </w:rPr>
          <w:t xml:space="preserve"> Bucharest Wine Fair</w:t>
        </w:r>
      </w:hyperlink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from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May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916CB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12-14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hosted </w:t>
      </w:r>
      <w:r w:rsidR="007A0FA4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at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 the same elegant </w:t>
      </w:r>
      <w:r w:rsidR="007A0FA4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venue,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Novotel Hotel, Paris Hall, Le Foyer, </w:t>
      </w:r>
      <w:hyperlink r:id="rId9" w:history="1">
        <w:proofErr w:type="spellStart"/>
        <w:r w:rsidR="00074A5D" w:rsidRPr="00170C37">
          <w:rPr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Calea</w:t>
        </w:r>
        <w:proofErr w:type="spellEnd"/>
        <w:r w:rsidR="00074A5D" w:rsidRPr="00170C37">
          <w:rPr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 xml:space="preserve"> </w:t>
        </w:r>
        <w:proofErr w:type="spellStart"/>
        <w:r w:rsidR="00074A5D" w:rsidRPr="00170C37">
          <w:rPr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Victoriei</w:t>
        </w:r>
        <w:proofErr w:type="spellEnd"/>
        <w:r w:rsidR="00074A5D" w:rsidRPr="00170C37">
          <w:rPr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, 37B, Bucharest</w:t>
        </w:r>
      </w:hyperlink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074A5D" w:rsidP="00074A5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event continues its mission to promote quality R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omanian wines, small and medium-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sized wineries, responsible consumption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and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local 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wine tourism.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During the event you will be able 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to taste over 2</w:t>
      </w:r>
      <w:r w:rsidR="00232140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3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0 premium wines</w:t>
      </w:r>
      <w:r w:rsidR="00916CB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from 35 exhibitors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, meet the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people who produce them and hear 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the stories of the vineyards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they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come from.</w:t>
      </w:r>
    </w:p>
    <w:p w:rsidR="00232140" w:rsidRPr="00170C37" w:rsidRDefault="00232140" w:rsidP="00074A5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232140" w:rsidRPr="00170C37" w:rsidRDefault="00232140" w:rsidP="00074A5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Exhibitors:</w:t>
      </w:r>
    </w:p>
    <w:p w:rsidR="00232140" w:rsidRPr="00170C37" w:rsidRDefault="00232140" w:rsidP="00074A5D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7ARTS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Alira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Amfiteatru Vitis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Aramic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Aurelia Visinescu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Avincis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Balla Geza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Basilescu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Bauer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Budureasca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Domeniul Bogdan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Carastelec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Cepari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Corcova Roy &amp; Damboviceanu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Casa de Vinuri Cotnari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Domeniul Dragasi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Halewood Wine &amp; Spirits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Histria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Le Manoir - Vinuri &amp; Accesorii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La Salina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Lechburg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Liliac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Oprisor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Domeniile Panciu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Petro Vaselo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Rasova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SERVE Ceptura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lastRenderedPageBreak/>
        <w:t>Casa de Vinuri Stefanesti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Domeniul Vladoi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Stirbey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Thesaurus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Tohani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Viile Metamorfosis</w:t>
      </w:r>
    </w:p>
    <w:p w:rsidR="00232140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Crama Villa Vinea</w:t>
      </w:r>
    </w:p>
    <w:p w:rsidR="00074A5D" w:rsidRPr="00170C37" w:rsidRDefault="00232140" w:rsidP="0023214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ro-RO"/>
        </w:rPr>
      </w:pPr>
      <w:r w:rsidRPr="00170C37">
        <w:rPr>
          <w:rFonts w:ascii="Arial" w:hAnsi="Arial" w:cs="Arial"/>
          <w:sz w:val="24"/>
          <w:szCs w:val="24"/>
          <w:lang w:val="ro-RO"/>
        </w:rPr>
        <w:t>Wine Point</w:t>
      </w:r>
    </w:p>
    <w:p w:rsidR="00F907CC" w:rsidRPr="00170C37" w:rsidRDefault="007A0FA4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On 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Saturday 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12 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and Sunday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13</w:t>
      </w:r>
      <w:r w:rsidR="00916CB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May,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F907CC" w:rsidRPr="00170C37">
        <w:rPr>
          <w:rStyle w:val="textexposedshow"/>
          <w:rFonts w:ascii="Arial" w:hAnsi="Arial" w:cs="Arial"/>
          <w:sz w:val="24"/>
          <w:szCs w:val="24"/>
        </w:rPr>
        <w:t xml:space="preserve">wine lovers </w:t>
      </w:r>
      <w:r w:rsidR="006D6726" w:rsidRPr="00170C37">
        <w:rPr>
          <w:rStyle w:val="textexposedshow"/>
          <w:rFonts w:ascii="Arial" w:hAnsi="Arial" w:cs="Arial"/>
          <w:sz w:val="24"/>
          <w:szCs w:val="24"/>
        </w:rPr>
        <w:t xml:space="preserve">will be able </w:t>
      </w:r>
      <w:r w:rsidR="00F907CC" w:rsidRPr="00170C37">
        <w:rPr>
          <w:rStyle w:val="textexposedshow"/>
          <w:rFonts w:ascii="Arial" w:hAnsi="Arial" w:cs="Arial"/>
          <w:sz w:val="24"/>
          <w:szCs w:val="24"/>
        </w:rPr>
        <w:t>to</w:t>
      </w:r>
      <w:r w:rsidR="006D6726" w:rsidRPr="00170C37">
        <w:rPr>
          <w:rStyle w:val="textexposedshow"/>
          <w:rFonts w:ascii="Arial" w:hAnsi="Arial" w:cs="Arial"/>
          <w:sz w:val="24"/>
          <w:szCs w:val="24"/>
        </w:rPr>
        <w:t xml:space="preserve"> taste premium wines, discover </w:t>
      </w:r>
      <w:r w:rsidR="00F907CC" w:rsidRPr="00170C37">
        <w:rPr>
          <w:rStyle w:val="textexposedshow"/>
          <w:rFonts w:ascii="Arial" w:hAnsi="Arial" w:cs="Arial"/>
          <w:sz w:val="24"/>
          <w:szCs w:val="24"/>
        </w:rPr>
        <w:t xml:space="preserve">Romanian wine regions and plan visits </w:t>
      </w:r>
      <w:r w:rsidR="006D6726" w:rsidRPr="00170C37">
        <w:rPr>
          <w:rStyle w:val="textexposedshow"/>
          <w:rFonts w:ascii="Arial" w:hAnsi="Arial" w:cs="Arial"/>
          <w:sz w:val="24"/>
          <w:szCs w:val="24"/>
        </w:rPr>
        <w:t>to</w:t>
      </w:r>
      <w:r w:rsidR="00F907CC" w:rsidRPr="00170C37">
        <w:rPr>
          <w:rStyle w:val="textexposedshow"/>
          <w:rFonts w:ascii="Arial" w:hAnsi="Arial" w:cs="Arial"/>
          <w:sz w:val="24"/>
          <w:szCs w:val="24"/>
        </w:rPr>
        <w:t xml:space="preserve"> wineries.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7A0FA4" w:rsidP="00074A5D">
      <w:pPr>
        <w:shd w:val="clear" w:color="auto" w:fill="FFFFFF"/>
        <w:spacing w:after="0" w:line="240" w:lineRule="auto"/>
        <w:rPr>
          <w:rStyle w:val="textexposedshow"/>
          <w:rFonts w:ascii="Arial" w:hAnsi="Arial" w:cs="Arial"/>
          <w:b/>
          <w:color w:val="000000" w:themeColor="text1"/>
          <w:sz w:val="24"/>
          <w:szCs w:val="24"/>
        </w:rPr>
      </w:pPr>
      <w:r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Monday, May 14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, is dedicated exclusively to </w:t>
      </w:r>
      <w:r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the </w:t>
      </w:r>
      <w:proofErr w:type="spellStart"/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HoReCa</w:t>
      </w:r>
      <w:proofErr w:type="spellEnd"/>
      <w:r w:rsidR="00E04AE3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 and Tourism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 sector </w:t>
      </w:r>
      <w:r w:rsidR="00A64F57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to create a professional 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atmosphere</w:t>
      </w:r>
      <w:r w:rsidR="00A64F57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64F57" w:rsidRPr="00170C37">
        <w:rPr>
          <w:rStyle w:val="m77862054892365350gmail-textexposedshow"/>
          <w:rFonts w:ascii="Arial" w:hAnsi="Arial" w:cs="Arial"/>
          <w:sz w:val="24"/>
          <w:szCs w:val="24"/>
        </w:rPr>
        <w:t>for tasting and business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.</w:t>
      </w:r>
      <w:r w:rsidR="00916CBD" w:rsidRPr="00170C37">
        <w:rPr>
          <w:rFonts w:ascii="Arial" w:hAnsi="Arial" w:cs="Arial"/>
          <w:color w:val="000000" w:themeColor="text1"/>
          <w:sz w:val="24"/>
          <w:szCs w:val="24"/>
        </w:rPr>
        <w:br/>
      </w:r>
      <w:r w:rsidR="00916CBD" w:rsidRPr="00170C37">
        <w:rPr>
          <w:rFonts w:ascii="Arial" w:hAnsi="Arial" w:cs="Arial"/>
          <w:color w:val="000000" w:themeColor="text1"/>
          <w:sz w:val="24"/>
          <w:szCs w:val="24"/>
        </w:rPr>
        <w:br/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The wine </w:t>
      </w:r>
      <w:r w:rsidR="00E04AE3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>fair</w:t>
      </w:r>
      <w:r w:rsidR="00916CBD" w:rsidRPr="00170C37">
        <w:rPr>
          <w:rStyle w:val="textexposedshow"/>
          <w:rFonts w:ascii="Arial" w:hAnsi="Arial" w:cs="Arial"/>
          <w:color w:val="000000" w:themeColor="text1"/>
          <w:sz w:val="24"/>
          <w:szCs w:val="24"/>
        </w:rPr>
        <w:t xml:space="preserve"> is completed by interactive </w:t>
      </w:r>
      <w:r w:rsidR="00916CBD" w:rsidRPr="00170C37">
        <w:rPr>
          <w:rStyle w:val="Strong"/>
          <w:rFonts w:ascii="Arial" w:hAnsi="Arial" w:cs="Arial"/>
          <w:b w:val="0"/>
          <w:color w:val="000000" w:themeColor="text1"/>
          <w:sz w:val="24"/>
          <w:szCs w:val="24"/>
        </w:rPr>
        <w:t>masterclasses</w:t>
      </w:r>
      <w:r w:rsidR="00916CBD" w:rsidRPr="00170C37">
        <w:rPr>
          <w:rStyle w:val="textexposedshow"/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170C37" w:rsidRPr="00170C37" w:rsidRDefault="00170C37" w:rsidP="00074A5D">
      <w:pPr>
        <w:shd w:val="clear" w:color="auto" w:fill="FFFFFF"/>
        <w:spacing w:after="0" w:line="240" w:lineRule="auto"/>
        <w:rPr>
          <w:rStyle w:val="textexposedshow"/>
          <w:rFonts w:ascii="Arial" w:hAnsi="Arial" w:cs="Arial"/>
          <w:b/>
          <w:color w:val="000000" w:themeColor="text1"/>
          <w:sz w:val="24"/>
          <w:szCs w:val="24"/>
        </w:rPr>
      </w:pPr>
    </w:p>
    <w:p w:rsidR="00170C37" w:rsidRPr="00170C37" w:rsidRDefault="00170C37" w:rsidP="00170C37">
      <w:pPr>
        <w:pStyle w:val="Defaul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170C3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Sponsors:</w:t>
      </w:r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Hochland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IPPU, FEPRA International, TEKKO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Logistik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Industry</w:t>
      </w:r>
    </w:p>
    <w:p w:rsidR="00170C37" w:rsidRPr="00170C37" w:rsidRDefault="00170C37" w:rsidP="00170C37">
      <w:pPr>
        <w:pStyle w:val="Defaul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:rsidR="00170C37" w:rsidRPr="00170C37" w:rsidRDefault="00170C37" w:rsidP="00170C37">
      <w:pPr>
        <w:pStyle w:val="Default"/>
        <w:rPr>
          <w:rStyle w:val="textexposedshow"/>
          <w:rFonts w:ascii="Arial" w:hAnsi="Arial" w:cs="Arial"/>
          <w:sz w:val="24"/>
          <w:szCs w:val="24"/>
        </w:rPr>
      </w:pPr>
      <w:r w:rsidRPr="00170C37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Partners:</w:t>
      </w:r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HORECA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România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Biz, Wall-street.ro,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Leveltour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Horeca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Insight, Top Hospitality, HRB Trends,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Lovin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Corks, Vino,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Winstone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Wineful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Aquavia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Teaforte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Climadiff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Gastrotech</w:t>
      </w:r>
      <w:proofErr w:type="spellEnd"/>
      <w:r w:rsidRPr="00170C37">
        <w:rPr>
          <w:rFonts w:ascii="Arial" w:hAnsi="Arial" w:cs="Arial"/>
          <w:color w:val="222222"/>
          <w:sz w:val="24"/>
          <w:szCs w:val="24"/>
          <w:shd w:val="clear" w:color="auto" w:fill="FFFFFF"/>
        </w:rPr>
        <w:t>, OZB</w:t>
      </w:r>
    </w:p>
    <w:p w:rsidR="00916CBD" w:rsidRPr="00170C37" w:rsidRDefault="00916CB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7A0FA4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See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the 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full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schedule and the </w:t>
      </w:r>
      <w:r w:rsidR="00916CB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exhibitors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list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at www.winefair.revino.ro</w:t>
      </w:r>
      <w:r w:rsidR="00074A5D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A64F57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Opening </w:t>
      </w:r>
      <w:r w:rsidR="007A0FA4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Hours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Public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Saturday, 12th May: 12.00 – 20.00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Sunday, 13th May: 12.00 – 20.00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proofErr w:type="spellStart"/>
      <w:r w:rsidRPr="00170C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HoReCa</w:t>
      </w:r>
      <w:proofErr w:type="spellEnd"/>
      <w:r w:rsidRPr="00170C3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&amp; Tourism day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 </w:t>
      </w:r>
      <w:r w:rsidR="00A64F57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–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r w:rsidR="00A64F57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access </w:t>
      </w: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by invitation only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Monday, 14th May: 12.00 – 17.00</w:t>
      </w: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074A5D" w:rsidRPr="00170C37" w:rsidRDefault="00074A5D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C</w:t>
      </w:r>
      <w:r w:rsidR="00A64F57" w:rsidRPr="00170C37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ontact</w:t>
      </w:r>
    </w:p>
    <w:p w:rsidR="00074A5D" w:rsidRPr="00170C37" w:rsidRDefault="00170C37" w:rsidP="00074A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10" w:tgtFrame="_blank" w:history="1">
        <w:r w:rsidR="00074A5D" w:rsidRPr="00170C37">
          <w:rPr>
            <w:rFonts w:ascii="Arial" w:eastAsia="Times New Roman" w:hAnsi="Arial" w:cs="Arial"/>
            <w:color w:val="000000" w:themeColor="text1"/>
            <w:sz w:val="24"/>
            <w:szCs w:val="24"/>
            <w:lang w:eastAsia="en-GB"/>
          </w:rPr>
          <w:t>salut@revino.ro</w:t>
        </w:r>
      </w:hyperlink>
    </w:p>
    <w:p w:rsidR="007D2DA5" w:rsidRPr="00170C37" w:rsidRDefault="007D2DA5">
      <w:pPr>
        <w:rPr>
          <w:rFonts w:ascii="Arial" w:hAnsi="Arial" w:cs="Arial"/>
          <w:color w:val="000000" w:themeColor="text1"/>
          <w:sz w:val="24"/>
          <w:szCs w:val="24"/>
        </w:rPr>
      </w:pPr>
    </w:p>
    <w:bookmarkEnd w:id="0"/>
    <w:p w:rsidR="00074A5D" w:rsidRPr="00170C37" w:rsidRDefault="00074A5D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074A5D" w:rsidRPr="00170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86031E"/>
    <w:multiLevelType w:val="hybridMultilevel"/>
    <w:tmpl w:val="93964C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5D"/>
    <w:rsid w:val="00074A5D"/>
    <w:rsid w:val="00170C37"/>
    <w:rsid w:val="00232140"/>
    <w:rsid w:val="004915ED"/>
    <w:rsid w:val="005045D1"/>
    <w:rsid w:val="00591927"/>
    <w:rsid w:val="006D6726"/>
    <w:rsid w:val="007A0FA4"/>
    <w:rsid w:val="007D2DA5"/>
    <w:rsid w:val="00916CBD"/>
    <w:rsid w:val="00A16A66"/>
    <w:rsid w:val="00A64F57"/>
    <w:rsid w:val="00AA1A8C"/>
    <w:rsid w:val="00E04AE3"/>
    <w:rsid w:val="00F9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C85558-3D9B-4CDA-8C2F-DD31AB88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074A5D"/>
  </w:style>
  <w:style w:type="character" w:styleId="Hyperlink">
    <w:name w:val="Hyperlink"/>
    <w:basedOn w:val="DefaultParagraphFont"/>
    <w:uiPriority w:val="99"/>
    <w:unhideWhenUsed/>
    <w:rsid w:val="00074A5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74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exposedshow">
    <w:name w:val="text_exposed_show"/>
    <w:basedOn w:val="DefaultParagraphFont"/>
    <w:rsid w:val="00074A5D"/>
  </w:style>
  <w:style w:type="character" w:styleId="Strong">
    <w:name w:val="Strong"/>
    <w:basedOn w:val="DefaultParagraphFont"/>
    <w:uiPriority w:val="22"/>
    <w:qFormat/>
    <w:rsid w:val="00074A5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9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2140"/>
    <w:pPr>
      <w:spacing w:after="160" w:line="259" w:lineRule="auto"/>
      <w:ind w:left="720"/>
      <w:contextualSpacing/>
    </w:pPr>
    <w:rPr>
      <w:lang w:val="en-US"/>
    </w:rPr>
  </w:style>
  <w:style w:type="character" w:customStyle="1" w:styleId="m77862054892365350gmail-textexposedshow">
    <w:name w:val="m_77862054892365350gmail-text_exposed_show"/>
    <w:basedOn w:val="DefaultParagraphFont"/>
    <w:rsid w:val="00A64F57"/>
  </w:style>
  <w:style w:type="paragraph" w:customStyle="1" w:styleId="Default">
    <w:name w:val="Default"/>
    <w:rsid w:val="00170C37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efair.revino.ro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http:/www.revino.ro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ameromania.ro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alut@revino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s.google.com/?q=Calea+Victoriei,+37B,+Bucharest&amp;entry=gmail&amp;source=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Iancu</dc:creator>
  <cp:lastModifiedBy>alina</cp:lastModifiedBy>
  <cp:revision>3</cp:revision>
  <dcterms:created xsi:type="dcterms:W3CDTF">2018-03-13T15:35:00Z</dcterms:created>
  <dcterms:modified xsi:type="dcterms:W3CDTF">2018-05-02T11:42:00Z</dcterms:modified>
</cp:coreProperties>
</file>